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7A" w:rsidRDefault="00934D7A">
      <w:pPr>
        <w:pStyle w:val="Title"/>
      </w:pPr>
      <w:r>
        <w:t>Chapter Eleven</w:t>
      </w:r>
    </w:p>
    <w:p w:rsidR="00934D7A" w:rsidRDefault="00934D7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The Corporate Income Tax</w:t>
      </w:r>
    </w:p>
    <w:p w:rsidR="00934D7A" w:rsidRDefault="00934D7A">
      <w:pPr>
        <w:rPr>
          <w:b/>
          <w:bCs/>
          <w:u w:val="single"/>
        </w:rPr>
      </w:pPr>
    </w:p>
    <w:p w:rsidR="00934D7A" w:rsidRDefault="00065373">
      <w:pPr>
        <w:rPr>
          <w:b/>
          <w:bCs/>
          <w:u w:val="single"/>
        </w:rPr>
      </w:pPr>
      <w:r>
        <w:rPr>
          <w:b/>
          <w:bCs/>
          <w:u w:val="single"/>
        </w:rPr>
        <w:t>Learning Objective</w:t>
      </w:r>
      <w:r w:rsidR="00934D7A">
        <w:rPr>
          <w:b/>
          <w:bCs/>
          <w:u w:val="single"/>
        </w:rPr>
        <w:t xml:space="preserve"> 11.1</w:t>
      </w:r>
      <w:r w:rsidR="00934D7A">
        <w:rPr>
          <w:b/>
          <w:bCs/>
          <w:u w:val="single"/>
        </w:rPr>
        <w:tab/>
        <w:t>Corporate Tax Rates</w:t>
      </w:r>
    </w:p>
    <w:p w:rsidR="00A775EF" w:rsidRDefault="00934D7A">
      <w:r>
        <w:t xml:space="preserve">Corporate tax rates have eight tax brackets with marginal tax rates from </w:t>
      </w:r>
      <w:r w:rsidR="00A775EF">
        <w:t>15% - 39%</w:t>
      </w:r>
    </w:p>
    <w:p w:rsidR="00934D7A" w:rsidRDefault="00934D7A"/>
    <w:p w:rsidR="00934D7A" w:rsidRDefault="00934D7A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728"/>
        <w:gridCol w:w="1980"/>
        <w:gridCol w:w="2340"/>
        <w:gridCol w:w="2160"/>
      </w:tblGrid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Taxable</w:t>
            </w:r>
          </w:p>
          <w:p w:rsidR="00934D7A" w:rsidRDefault="00934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Income Over</w:t>
            </w:r>
          </w:p>
        </w:tc>
        <w:tc>
          <w:tcPr>
            <w:tcW w:w="1980" w:type="dxa"/>
          </w:tcPr>
          <w:p w:rsidR="00934D7A" w:rsidRDefault="00934D7A">
            <w:pPr>
              <w:rPr>
                <w:b/>
                <w:bCs/>
              </w:rPr>
            </w:pPr>
          </w:p>
          <w:p w:rsidR="00934D7A" w:rsidRDefault="00934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But Not Over</w:t>
            </w:r>
          </w:p>
        </w:tc>
        <w:tc>
          <w:tcPr>
            <w:tcW w:w="2340" w:type="dxa"/>
          </w:tcPr>
          <w:p w:rsidR="00934D7A" w:rsidRDefault="00934D7A">
            <w:pPr>
              <w:jc w:val="center"/>
              <w:rPr>
                <w:b/>
                <w:bCs/>
              </w:rPr>
            </w:pPr>
          </w:p>
          <w:p w:rsidR="00934D7A" w:rsidRDefault="00934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The Tax Is</w:t>
            </w:r>
          </w:p>
        </w:tc>
        <w:tc>
          <w:tcPr>
            <w:tcW w:w="2160" w:type="dxa"/>
          </w:tcPr>
          <w:p w:rsidR="00934D7A" w:rsidRDefault="00934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 the</w:t>
            </w:r>
          </w:p>
          <w:p w:rsidR="00934D7A" w:rsidRDefault="00934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Amount Over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$                     0</w:t>
            </w:r>
          </w:p>
        </w:tc>
        <w:tc>
          <w:tcPr>
            <w:tcW w:w="1980" w:type="dxa"/>
          </w:tcPr>
          <w:p w:rsidR="00934D7A" w:rsidRDefault="00934D7A">
            <w:pPr>
              <w:jc w:val="right"/>
            </w:pPr>
            <w:r>
              <w:t>$               50,000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15 %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$                 0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50,000</w:t>
            </w:r>
          </w:p>
        </w:tc>
        <w:tc>
          <w:tcPr>
            <w:tcW w:w="1980" w:type="dxa"/>
          </w:tcPr>
          <w:p w:rsidR="00934D7A" w:rsidRDefault="00934D7A">
            <w:pPr>
              <w:jc w:val="right"/>
            </w:pPr>
            <w:r>
              <w:t>75,000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$          7,500 + 25%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50,000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75,000</w:t>
            </w:r>
          </w:p>
        </w:tc>
        <w:tc>
          <w:tcPr>
            <w:tcW w:w="1980" w:type="dxa"/>
          </w:tcPr>
          <w:p w:rsidR="00934D7A" w:rsidRDefault="00934D7A">
            <w:pPr>
              <w:jc w:val="right"/>
            </w:pPr>
            <w:r>
              <w:t>100,000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13,750 + 34%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75,000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100,000</w:t>
            </w:r>
          </w:p>
        </w:tc>
        <w:tc>
          <w:tcPr>
            <w:tcW w:w="1980" w:type="dxa"/>
          </w:tcPr>
          <w:p w:rsidR="00934D7A" w:rsidRDefault="00934D7A">
            <w:pPr>
              <w:jc w:val="right"/>
            </w:pPr>
            <w:r>
              <w:t>335,000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22,250 + 39%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100,000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335,000</w:t>
            </w:r>
          </w:p>
        </w:tc>
        <w:tc>
          <w:tcPr>
            <w:tcW w:w="1980" w:type="dxa"/>
          </w:tcPr>
          <w:p w:rsidR="00934D7A" w:rsidRDefault="00934D7A">
            <w:pPr>
              <w:pStyle w:val="NormalWeb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10,000,000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113,900 + 34%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335,000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10,000,000</w:t>
            </w:r>
          </w:p>
        </w:tc>
        <w:tc>
          <w:tcPr>
            <w:tcW w:w="1980" w:type="dxa"/>
          </w:tcPr>
          <w:p w:rsidR="00934D7A" w:rsidRDefault="00934D7A">
            <w:pPr>
              <w:jc w:val="right"/>
            </w:pPr>
            <w:r>
              <w:t>15,000,000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3,400,000 + 35%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10,000,000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15,000,000</w:t>
            </w:r>
          </w:p>
        </w:tc>
        <w:tc>
          <w:tcPr>
            <w:tcW w:w="1980" w:type="dxa"/>
          </w:tcPr>
          <w:p w:rsidR="00934D7A" w:rsidRDefault="00934D7A">
            <w:pPr>
              <w:jc w:val="right"/>
            </w:pPr>
            <w:r>
              <w:t>18,333,333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5,150,000 + 38%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15,000,000</w:t>
            </w:r>
          </w:p>
        </w:tc>
      </w:tr>
      <w:tr w:rsidR="00934D7A">
        <w:trPr>
          <w:jc w:val="center"/>
        </w:trPr>
        <w:tc>
          <w:tcPr>
            <w:tcW w:w="1728" w:type="dxa"/>
          </w:tcPr>
          <w:p w:rsidR="00934D7A" w:rsidRDefault="00934D7A">
            <w:pPr>
              <w:jc w:val="right"/>
            </w:pPr>
            <w:r>
              <w:t>18,333,333</w:t>
            </w:r>
          </w:p>
        </w:tc>
        <w:tc>
          <w:tcPr>
            <w:tcW w:w="1980" w:type="dxa"/>
          </w:tcPr>
          <w:p w:rsidR="00934D7A" w:rsidRDefault="00934D7A">
            <w:pPr>
              <w:jc w:val="right"/>
            </w:pPr>
            <w:r>
              <w:t>-</w:t>
            </w:r>
          </w:p>
        </w:tc>
        <w:tc>
          <w:tcPr>
            <w:tcW w:w="2340" w:type="dxa"/>
          </w:tcPr>
          <w:p w:rsidR="00934D7A" w:rsidRDefault="00934D7A">
            <w:pPr>
              <w:jc w:val="right"/>
            </w:pPr>
            <w:r>
              <w:t>6,416,667 + 35%</w:t>
            </w:r>
          </w:p>
        </w:tc>
        <w:tc>
          <w:tcPr>
            <w:tcW w:w="2160" w:type="dxa"/>
          </w:tcPr>
          <w:p w:rsidR="00934D7A" w:rsidRDefault="00934D7A">
            <w:pPr>
              <w:jc w:val="right"/>
            </w:pPr>
            <w:r>
              <w:t>18,333,333</w:t>
            </w:r>
          </w:p>
        </w:tc>
      </w:tr>
    </w:tbl>
    <w:p w:rsidR="00934D7A" w:rsidRDefault="00934D7A"/>
    <w:p w:rsidR="00A775EF" w:rsidRDefault="00934D7A">
      <w:r>
        <w:t>Qualified personal service cor</w:t>
      </w:r>
      <w:r w:rsidR="00A775EF">
        <w:t xml:space="preserve">poration (PSC) are taxed at a flat 35% </w:t>
      </w:r>
      <w:r>
        <w:t xml:space="preserve">tax rate on all taxable income.  </w:t>
      </w:r>
    </w:p>
    <w:p w:rsidR="00934D7A" w:rsidRDefault="00934D7A">
      <w:r>
        <w:t xml:space="preserve">Qualified </w:t>
      </w:r>
      <w:r w:rsidR="00A775EF">
        <w:t>PSCs</w:t>
      </w:r>
      <w:r>
        <w:t xml:space="preserve"> are substantially employee-owned and engaged in one of the following activities:</w:t>
      </w:r>
    </w:p>
    <w:p w:rsidR="00934D7A" w:rsidRDefault="00934D7A">
      <w:pPr>
        <w:numPr>
          <w:ilvl w:val="0"/>
          <w:numId w:val="26"/>
        </w:numPr>
      </w:pPr>
      <w:r>
        <w:t>Health</w:t>
      </w:r>
    </w:p>
    <w:p w:rsidR="00934D7A" w:rsidRDefault="00934D7A">
      <w:pPr>
        <w:numPr>
          <w:ilvl w:val="0"/>
          <w:numId w:val="26"/>
        </w:numPr>
      </w:pPr>
      <w:r>
        <w:t>Law</w:t>
      </w:r>
    </w:p>
    <w:p w:rsidR="00934D7A" w:rsidRDefault="00934D7A">
      <w:pPr>
        <w:numPr>
          <w:ilvl w:val="0"/>
          <w:numId w:val="26"/>
        </w:numPr>
      </w:pPr>
      <w:r>
        <w:t>Engineering</w:t>
      </w:r>
    </w:p>
    <w:p w:rsidR="00934D7A" w:rsidRDefault="00934D7A">
      <w:pPr>
        <w:numPr>
          <w:ilvl w:val="0"/>
          <w:numId w:val="26"/>
        </w:numPr>
      </w:pPr>
      <w:r>
        <w:t>Architecture</w:t>
      </w:r>
    </w:p>
    <w:p w:rsidR="00934D7A" w:rsidRDefault="00934D7A">
      <w:pPr>
        <w:numPr>
          <w:ilvl w:val="0"/>
          <w:numId w:val="26"/>
        </w:numPr>
      </w:pPr>
      <w:r>
        <w:t>Accounting</w:t>
      </w:r>
    </w:p>
    <w:p w:rsidR="00934D7A" w:rsidRDefault="00934D7A">
      <w:pPr>
        <w:numPr>
          <w:ilvl w:val="0"/>
          <w:numId w:val="26"/>
        </w:numPr>
      </w:pPr>
      <w:r>
        <w:t>Actuarial science</w:t>
      </w:r>
    </w:p>
    <w:p w:rsidR="00934D7A" w:rsidRDefault="00934D7A">
      <w:pPr>
        <w:numPr>
          <w:ilvl w:val="0"/>
          <w:numId w:val="26"/>
        </w:numPr>
      </w:pPr>
      <w:r>
        <w:t>Performing arts</w:t>
      </w:r>
    </w:p>
    <w:p w:rsidR="00934D7A" w:rsidRDefault="00934D7A">
      <w:pPr>
        <w:numPr>
          <w:ilvl w:val="0"/>
          <w:numId w:val="26"/>
        </w:numPr>
      </w:pPr>
      <w:r>
        <w:t>Consulting</w:t>
      </w:r>
    </w:p>
    <w:p w:rsidR="00934D7A" w:rsidRDefault="00934D7A"/>
    <w:p w:rsidR="00934D7A" w:rsidRDefault="00934D7A">
      <w:pPr>
        <w:jc w:val="both"/>
        <w:rPr>
          <w:b/>
          <w:bCs/>
        </w:rPr>
      </w:pPr>
      <w:r>
        <w:t xml:space="preserve"> </w:t>
      </w:r>
    </w:p>
    <w:p w:rsidR="00934D7A" w:rsidRDefault="00065373">
      <w:pPr>
        <w:pStyle w:val="Heading6"/>
        <w:jc w:val="both"/>
      </w:pPr>
      <w:r>
        <w:t>Learning Objective</w:t>
      </w:r>
      <w:r w:rsidR="00934D7A">
        <w:t xml:space="preserve"> 11.2</w:t>
      </w:r>
      <w:r w:rsidR="00934D7A">
        <w:tab/>
        <w:t>Corporate Capital Gains and Losses</w:t>
      </w:r>
    </w:p>
    <w:p w:rsidR="00A775EF" w:rsidRDefault="00934D7A" w:rsidP="00AD2F4B">
      <w:r>
        <w:t xml:space="preserve">Corporations with net long-term capital gains have two alternative tax treatments.  </w:t>
      </w:r>
    </w:p>
    <w:p w:rsidR="00A775EF" w:rsidRPr="00A775EF" w:rsidRDefault="00A775EF" w:rsidP="00A775EF">
      <w:pPr>
        <w:pStyle w:val="ListParagraph"/>
        <w:numPr>
          <w:ilvl w:val="0"/>
          <w:numId w:val="29"/>
        </w:numPr>
        <w:rPr>
          <w:u w:val="single"/>
        </w:rPr>
      </w:pPr>
      <w:r>
        <w:t>C</w:t>
      </w:r>
      <w:r w:rsidR="00934D7A">
        <w:t xml:space="preserve">an be included in ordinary income or an alternative tax can be paid.  </w:t>
      </w:r>
    </w:p>
    <w:p w:rsidR="00A775EF" w:rsidRPr="00A775EF" w:rsidRDefault="00A775EF" w:rsidP="00A775EF">
      <w:pPr>
        <w:pStyle w:val="ListParagraph"/>
        <w:numPr>
          <w:ilvl w:val="1"/>
          <w:numId w:val="29"/>
        </w:numPr>
        <w:rPr>
          <w:u w:val="single"/>
        </w:rPr>
      </w:pPr>
      <w:r>
        <w:t>Al</w:t>
      </w:r>
      <w:r w:rsidR="00934D7A">
        <w:t>ternative rate is 35</w:t>
      </w:r>
      <w:r>
        <w:t>%</w:t>
      </w:r>
      <w:r w:rsidR="00934D7A">
        <w:t>,</w:t>
      </w:r>
      <w:r>
        <w:t xml:space="preserve"> </w:t>
      </w:r>
      <w:r w:rsidR="00934D7A">
        <w:t xml:space="preserve">same as the maximum regular corporate rate.  </w:t>
      </w:r>
    </w:p>
    <w:p w:rsidR="00A775EF" w:rsidRPr="00A775EF" w:rsidRDefault="00934D7A" w:rsidP="00A775EF">
      <w:pPr>
        <w:pStyle w:val="ListParagraph"/>
        <w:numPr>
          <w:ilvl w:val="1"/>
          <w:numId w:val="29"/>
        </w:numPr>
        <w:rPr>
          <w:u w:val="single"/>
        </w:rPr>
      </w:pPr>
      <w:r>
        <w:t>Net short-term capital gains of a corporation</w:t>
      </w:r>
      <w:r w:rsidR="00A775EF">
        <w:t xml:space="preserve"> are taxed as ordinary income. </w:t>
      </w:r>
    </w:p>
    <w:p w:rsidR="00A775EF" w:rsidRPr="00A775EF" w:rsidRDefault="00934D7A" w:rsidP="00A775EF">
      <w:pPr>
        <w:pStyle w:val="ListParagraph"/>
        <w:numPr>
          <w:ilvl w:val="1"/>
          <w:numId w:val="29"/>
        </w:numPr>
        <w:rPr>
          <w:u w:val="single"/>
        </w:rPr>
      </w:pPr>
      <w:r>
        <w:t>Corporations may not deduct capital l</w:t>
      </w:r>
      <w:r w:rsidR="00A775EF">
        <w:t xml:space="preserve">osses against ordinary income. </w:t>
      </w:r>
      <w:proofErr w:type="gramStart"/>
      <w:r w:rsidR="00A775EF">
        <w:t xml:space="preserve">And </w:t>
      </w:r>
      <w:r>
        <w:t xml:space="preserve"> may</w:t>
      </w:r>
      <w:proofErr w:type="gramEnd"/>
      <w:r>
        <w:t xml:space="preserve"> be carried back </w:t>
      </w:r>
      <w:r w:rsidR="00A775EF">
        <w:t>3</w:t>
      </w:r>
      <w:r>
        <w:t xml:space="preserve"> year and forward </w:t>
      </w:r>
      <w:r w:rsidR="00A775EF">
        <w:t>5.</w:t>
      </w:r>
    </w:p>
    <w:p w:rsidR="00934D7A" w:rsidRPr="00A775EF" w:rsidRDefault="00934D7A" w:rsidP="00A775EF">
      <w:pPr>
        <w:ind w:left="720"/>
        <w:rPr>
          <w:u w:val="single"/>
        </w:rPr>
      </w:pPr>
      <w:r>
        <w:t xml:space="preserve">  </w:t>
      </w:r>
    </w:p>
    <w:p w:rsidR="00934D7A" w:rsidRDefault="00065373">
      <w:pPr>
        <w:pStyle w:val="Heading3"/>
        <w:jc w:val="both"/>
        <w:rPr>
          <w:u w:val="single"/>
        </w:rPr>
      </w:pPr>
      <w:r>
        <w:rPr>
          <w:u w:val="single"/>
        </w:rPr>
        <w:t>Learning Objective</w:t>
      </w:r>
      <w:r w:rsidR="00934D7A">
        <w:rPr>
          <w:u w:val="single"/>
        </w:rPr>
        <w:t xml:space="preserve"> 11.3</w:t>
      </w:r>
      <w:r w:rsidR="00934D7A">
        <w:rPr>
          <w:u w:val="single"/>
        </w:rPr>
        <w:tab/>
        <w:t>Special Deductions and Limitations</w:t>
      </w:r>
    </w:p>
    <w:p w:rsidR="00A775EF" w:rsidRDefault="00934D7A" w:rsidP="00AD2F4B">
      <w:pPr>
        <w:pStyle w:val="Heading4"/>
        <w:rPr>
          <w:i w:val="0"/>
        </w:rPr>
      </w:pPr>
      <w:r w:rsidRPr="00AD2F4B">
        <w:rPr>
          <w:i w:val="0"/>
        </w:rPr>
        <w:t xml:space="preserve">Corporations are allowed special deductions.  </w:t>
      </w:r>
    </w:p>
    <w:p w:rsidR="00AD2F4B" w:rsidRDefault="00A775EF" w:rsidP="00D05F1C">
      <w:pPr>
        <w:pStyle w:val="Heading4"/>
        <w:numPr>
          <w:ilvl w:val="0"/>
          <w:numId w:val="29"/>
        </w:numPr>
        <w:rPr>
          <w:i w:val="0"/>
        </w:rPr>
      </w:pPr>
      <w:r w:rsidRPr="00A775EF">
        <w:t>A d</w:t>
      </w:r>
      <w:r w:rsidR="00934D7A" w:rsidRPr="00A775EF">
        <w:t>eduction for dividends re</w:t>
      </w:r>
      <w:r w:rsidRPr="00A775EF">
        <w:t>ceived</w:t>
      </w:r>
      <w:r>
        <w:rPr>
          <w:i w:val="0"/>
        </w:rPr>
        <w:t xml:space="preserve"> from another corporation – amount is based upon percentage of ownership as follows:</w:t>
      </w:r>
    </w:p>
    <w:p w:rsidR="00A775EF" w:rsidRPr="00A775EF" w:rsidRDefault="00A775EF" w:rsidP="00A775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060"/>
      </w:tblGrid>
      <w:tr w:rsidR="00AD2F4B" w:rsidTr="00570974">
        <w:tc>
          <w:tcPr>
            <w:tcW w:w="3438" w:type="dxa"/>
          </w:tcPr>
          <w:p w:rsidR="00AD2F4B" w:rsidRPr="00AD2F4B" w:rsidRDefault="00AD2F4B" w:rsidP="00AD2F4B">
            <w:pPr>
              <w:rPr>
                <w:i/>
              </w:rPr>
            </w:pPr>
            <w:r>
              <w:rPr>
                <w:i/>
              </w:rPr>
              <w:lastRenderedPageBreak/>
              <w:t>Percent Ownership</w:t>
            </w:r>
          </w:p>
        </w:tc>
        <w:tc>
          <w:tcPr>
            <w:tcW w:w="3060" w:type="dxa"/>
          </w:tcPr>
          <w:p w:rsidR="00AD2F4B" w:rsidRDefault="00AD2F4B" w:rsidP="00AD2F4B">
            <w:pPr>
              <w:rPr>
                <w:i/>
              </w:rPr>
            </w:pPr>
            <w:r>
              <w:rPr>
                <w:i/>
              </w:rPr>
              <w:t>Dividends Received Deduction Percentage</w:t>
            </w:r>
          </w:p>
          <w:p w:rsidR="00AD2F4B" w:rsidRPr="00AD2F4B" w:rsidRDefault="00AD2F4B" w:rsidP="00AD2F4B"/>
        </w:tc>
      </w:tr>
      <w:tr w:rsidR="00AD2F4B" w:rsidTr="00570974">
        <w:tc>
          <w:tcPr>
            <w:tcW w:w="3438" w:type="dxa"/>
          </w:tcPr>
          <w:p w:rsidR="00AD2F4B" w:rsidRDefault="00AD2F4B" w:rsidP="00AD2F4B">
            <w:r>
              <w:t>Less than 20%</w:t>
            </w:r>
          </w:p>
        </w:tc>
        <w:tc>
          <w:tcPr>
            <w:tcW w:w="3060" w:type="dxa"/>
          </w:tcPr>
          <w:p w:rsidR="00AD2F4B" w:rsidRDefault="00AD2F4B" w:rsidP="00570974">
            <w:pPr>
              <w:jc w:val="center"/>
            </w:pPr>
            <w:r>
              <w:t>70%</w:t>
            </w:r>
          </w:p>
        </w:tc>
      </w:tr>
      <w:tr w:rsidR="00AD2F4B" w:rsidTr="00570974">
        <w:tc>
          <w:tcPr>
            <w:tcW w:w="3438" w:type="dxa"/>
          </w:tcPr>
          <w:p w:rsidR="00AD2F4B" w:rsidRDefault="00AD2F4B" w:rsidP="00AD2F4B">
            <w:r>
              <w:t>20% or more, but less than 80%</w:t>
            </w:r>
          </w:p>
        </w:tc>
        <w:tc>
          <w:tcPr>
            <w:tcW w:w="3060" w:type="dxa"/>
          </w:tcPr>
          <w:p w:rsidR="00AD2F4B" w:rsidRDefault="00AD2F4B" w:rsidP="00570974">
            <w:pPr>
              <w:jc w:val="center"/>
            </w:pPr>
            <w:r>
              <w:t>80%</w:t>
            </w:r>
          </w:p>
        </w:tc>
      </w:tr>
      <w:tr w:rsidR="00AD2F4B" w:rsidTr="00570974">
        <w:tc>
          <w:tcPr>
            <w:tcW w:w="3438" w:type="dxa"/>
          </w:tcPr>
          <w:p w:rsidR="00AD2F4B" w:rsidRDefault="00AD2F4B" w:rsidP="00AD2F4B">
            <w:r>
              <w:t>80% or more</w:t>
            </w:r>
          </w:p>
        </w:tc>
        <w:tc>
          <w:tcPr>
            <w:tcW w:w="3060" w:type="dxa"/>
          </w:tcPr>
          <w:p w:rsidR="00AD2F4B" w:rsidRDefault="00AD2F4B" w:rsidP="00570974">
            <w:pPr>
              <w:jc w:val="center"/>
            </w:pPr>
            <w:r>
              <w:t>100%</w:t>
            </w:r>
          </w:p>
        </w:tc>
      </w:tr>
    </w:tbl>
    <w:p w:rsidR="00AD2F4B" w:rsidRPr="00AD2F4B" w:rsidRDefault="00AD2F4B" w:rsidP="00AD2F4B"/>
    <w:p w:rsidR="00AD2F4B" w:rsidRDefault="00AD2F4B" w:rsidP="00AD2F4B">
      <w:pPr>
        <w:pStyle w:val="Heading4"/>
        <w:rPr>
          <w:i w:val="0"/>
        </w:rPr>
      </w:pPr>
    </w:p>
    <w:p w:rsidR="00A775EF" w:rsidRDefault="00A775EF" w:rsidP="00A775EF">
      <w:pPr>
        <w:pStyle w:val="Heading4"/>
        <w:numPr>
          <w:ilvl w:val="0"/>
          <w:numId w:val="29"/>
        </w:numPr>
        <w:rPr>
          <w:i w:val="0"/>
        </w:rPr>
      </w:pPr>
      <w:r>
        <w:t>T</w:t>
      </w:r>
      <w:r w:rsidRPr="00A775EF">
        <w:t>he</w:t>
      </w:r>
      <w:r w:rsidR="00934D7A" w:rsidRPr="00A775EF">
        <w:t xml:space="preserve"> expenses of organization</w:t>
      </w:r>
      <w:r w:rsidR="00934D7A" w:rsidRPr="00AD2F4B">
        <w:rPr>
          <w:i w:val="0"/>
        </w:rPr>
        <w:t xml:space="preserve"> may be amortized</w:t>
      </w:r>
      <w:r w:rsidR="00AD2F4B">
        <w:rPr>
          <w:i w:val="0"/>
        </w:rPr>
        <w:t xml:space="preserve"> over 180 months, with no upper limit</w:t>
      </w:r>
      <w:r w:rsidR="00934D7A" w:rsidRPr="00AD2F4B">
        <w:rPr>
          <w:i w:val="0"/>
        </w:rPr>
        <w:t>.</w:t>
      </w:r>
      <w:r w:rsidR="00AD2F4B">
        <w:rPr>
          <w:i w:val="0"/>
        </w:rPr>
        <w:t xml:space="preserve">  </w:t>
      </w:r>
    </w:p>
    <w:p w:rsidR="00A775EF" w:rsidRDefault="00A775EF" w:rsidP="00A775EF">
      <w:pPr>
        <w:pStyle w:val="Heading4"/>
        <w:numPr>
          <w:ilvl w:val="1"/>
          <w:numId w:val="29"/>
        </w:numPr>
        <w:rPr>
          <w:i w:val="0"/>
        </w:rPr>
      </w:pPr>
      <w:r>
        <w:rPr>
          <w:i w:val="0"/>
        </w:rPr>
        <w:t>Corp</w:t>
      </w:r>
      <w:r w:rsidR="00AD2F4B">
        <w:rPr>
          <w:i w:val="0"/>
        </w:rPr>
        <w:t xml:space="preserve"> can deduct up to $5000 in the year they begin business (with a phase-out when expenses exceed $50,000)</w:t>
      </w:r>
      <w:r w:rsidR="00934D7A" w:rsidRPr="00AD2F4B">
        <w:rPr>
          <w:i w:val="0"/>
        </w:rPr>
        <w:t xml:space="preserve">  </w:t>
      </w:r>
    </w:p>
    <w:p w:rsidR="00A775EF" w:rsidRDefault="00934D7A" w:rsidP="00A775EF">
      <w:pPr>
        <w:pStyle w:val="Heading4"/>
        <w:numPr>
          <w:ilvl w:val="1"/>
          <w:numId w:val="29"/>
        </w:numPr>
        <w:rPr>
          <w:i w:val="0"/>
        </w:rPr>
      </w:pPr>
      <w:r w:rsidRPr="00AD2F4B">
        <w:rPr>
          <w:i w:val="0"/>
        </w:rPr>
        <w:t xml:space="preserve">The election must be made on the tax return for the first taxable year  </w:t>
      </w:r>
    </w:p>
    <w:p w:rsidR="00A775EF" w:rsidRDefault="00934D7A" w:rsidP="00A775EF">
      <w:pPr>
        <w:pStyle w:val="Heading4"/>
        <w:numPr>
          <w:ilvl w:val="1"/>
          <w:numId w:val="29"/>
        </w:numPr>
        <w:rPr>
          <w:i w:val="0"/>
        </w:rPr>
      </w:pPr>
      <w:r w:rsidRPr="00AD2F4B">
        <w:rPr>
          <w:i w:val="0"/>
        </w:rPr>
        <w:t>Examples of qualifying organization expenses include legal and accounting services to initiate the organization, fees paid for corporate filing</w:t>
      </w:r>
      <w:r w:rsidR="00A775EF">
        <w:rPr>
          <w:i w:val="0"/>
        </w:rPr>
        <w:t>s, and organizational meetings</w:t>
      </w:r>
      <w:r w:rsidRPr="00AD2F4B">
        <w:rPr>
          <w:i w:val="0"/>
        </w:rPr>
        <w:t xml:space="preserve"> </w:t>
      </w:r>
    </w:p>
    <w:p w:rsidR="00A775EF" w:rsidRDefault="00934D7A" w:rsidP="00A775EF">
      <w:pPr>
        <w:pStyle w:val="Heading4"/>
        <w:numPr>
          <w:ilvl w:val="0"/>
          <w:numId w:val="29"/>
        </w:numPr>
        <w:rPr>
          <w:i w:val="0"/>
        </w:rPr>
      </w:pPr>
      <w:r w:rsidRPr="00AD2F4B">
        <w:rPr>
          <w:i w:val="0"/>
        </w:rPr>
        <w:t xml:space="preserve">Corporations </w:t>
      </w:r>
      <w:r w:rsidR="00A775EF">
        <w:rPr>
          <w:i w:val="0"/>
        </w:rPr>
        <w:t>can deduct</w:t>
      </w:r>
      <w:r w:rsidRPr="00AD2F4B">
        <w:rPr>
          <w:i w:val="0"/>
        </w:rPr>
        <w:t xml:space="preserve"> </w:t>
      </w:r>
      <w:r w:rsidRPr="00A775EF">
        <w:t>contributions to qualified charitable organizations.</w:t>
      </w:r>
      <w:r w:rsidRPr="00AD2F4B">
        <w:rPr>
          <w:i w:val="0"/>
        </w:rPr>
        <w:t xml:space="preserve">  </w:t>
      </w:r>
    </w:p>
    <w:p w:rsidR="00A775EF" w:rsidRDefault="00A775EF" w:rsidP="00A775EF">
      <w:pPr>
        <w:pStyle w:val="Heading4"/>
        <w:numPr>
          <w:ilvl w:val="1"/>
          <w:numId w:val="29"/>
        </w:numPr>
        <w:rPr>
          <w:i w:val="0"/>
        </w:rPr>
      </w:pPr>
      <w:r>
        <w:rPr>
          <w:i w:val="0"/>
        </w:rPr>
        <w:t>Deduction is</w:t>
      </w:r>
      <w:r w:rsidR="00934D7A" w:rsidRPr="00AD2F4B">
        <w:rPr>
          <w:i w:val="0"/>
        </w:rPr>
        <w:t xml:space="preserve"> limited to 10</w:t>
      </w:r>
      <w:r>
        <w:rPr>
          <w:i w:val="0"/>
        </w:rPr>
        <w:t xml:space="preserve">% </w:t>
      </w:r>
      <w:r w:rsidR="00934D7A" w:rsidRPr="00AD2F4B">
        <w:rPr>
          <w:i w:val="0"/>
        </w:rPr>
        <w:t>of taxable income, computed before the deduct</w:t>
      </w:r>
      <w:r>
        <w:rPr>
          <w:i w:val="0"/>
        </w:rPr>
        <w:t>ion for charitable deductions</w:t>
      </w:r>
    </w:p>
    <w:p w:rsidR="00934D7A" w:rsidRPr="00AD2F4B" w:rsidRDefault="00934D7A" w:rsidP="00A775EF">
      <w:pPr>
        <w:pStyle w:val="Heading4"/>
        <w:numPr>
          <w:ilvl w:val="1"/>
          <w:numId w:val="29"/>
        </w:numPr>
        <w:rPr>
          <w:i w:val="0"/>
        </w:rPr>
      </w:pPr>
      <w:r w:rsidRPr="00AD2F4B">
        <w:rPr>
          <w:i w:val="0"/>
        </w:rPr>
        <w:t xml:space="preserve">Excess contributions may be carried forward for </w:t>
      </w:r>
      <w:r w:rsidR="00A775EF">
        <w:rPr>
          <w:i w:val="0"/>
        </w:rPr>
        <w:t>5</w:t>
      </w:r>
      <w:r w:rsidRPr="00AD2F4B">
        <w:rPr>
          <w:i w:val="0"/>
        </w:rPr>
        <w:t xml:space="preserve"> yea</w:t>
      </w:r>
      <w:r w:rsidR="00A775EF">
        <w:rPr>
          <w:i w:val="0"/>
        </w:rPr>
        <w:t>rs, but are still subject to 10% of taxable income for that year</w:t>
      </w:r>
    </w:p>
    <w:p w:rsidR="00934D7A" w:rsidRDefault="00934D7A">
      <w:pPr>
        <w:ind w:left="360"/>
      </w:pPr>
    </w:p>
    <w:p w:rsidR="00934D7A" w:rsidRDefault="00934D7A">
      <w:pPr>
        <w:ind w:left="360"/>
      </w:pPr>
    </w:p>
    <w:p w:rsidR="00934D7A" w:rsidRDefault="00065373">
      <w:pPr>
        <w:pStyle w:val="Heading3"/>
        <w:rPr>
          <w:u w:val="single"/>
        </w:rPr>
      </w:pPr>
      <w:r>
        <w:rPr>
          <w:u w:val="single"/>
        </w:rPr>
        <w:t>Learning Objective</w:t>
      </w:r>
      <w:r w:rsidR="00934D7A">
        <w:rPr>
          <w:u w:val="single"/>
        </w:rPr>
        <w:t xml:space="preserve"> 11.4</w:t>
      </w:r>
      <w:r w:rsidR="00934D7A">
        <w:rPr>
          <w:u w:val="single"/>
        </w:rPr>
        <w:tab/>
        <w:t>Schedule M-1</w:t>
      </w:r>
    </w:p>
    <w:p w:rsidR="00A775EF" w:rsidRDefault="00934D7A">
      <w:r>
        <w:t xml:space="preserve">Because tax laws and accounting rules are not the same, a corporation’s taxable income is rarely equal to the net income per the financial statements  </w:t>
      </w:r>
    </w:p>
    <w:p w:rsidR="00A775EF" w:rsidRDefault="00934D7A" w:rsidP="00A775EF">
      <w:pPr>
        <w:pStyle w:val="ListParagraph"/>
        <w:numPr>
          <w:ilvl w:val="0"/>
          <w:numId w:val="30"/>
        </w:numPr>
      </w:pPr>
      <w:r>
        <w:t xml:space="preserve">Schedule M-1 is a reconciliation of the two income amounts.  </w:t>
      </w:r>
    </w:p>
    <w:p w:rsidR="00934D7A" w:rsidRDefault="00934D7A" w:rsidP="00A775EF">
      <w:pPr>
        <w:pStyle w:val="ListParagraph"/>
        <w:numPr>
          <w:ilvl w:val="0"/>
          <w:numId w:val="30"/>
        </w:numPr>
      </w:pPr>
      <w:r>
        <w:t xml:space="preserve">Examples of differences included depreciation expenses, </w:t>
      </w:r>
      <w:r w:rsidR="007D2175">
        <w:t>charitable contributions</w:t>
      </w:r>
      <w:r>
        <w:t xml:space="preserve"> and net capital losses deducte</w:t>
      </w:r>
      <w:r w:rsidR="00A775EF">
        <w:t>d for book but not tax purposes</w:t>
      </w:r>
    </w:p>
    <w:p w:rsidR="00934D7A" w:rsidRDefault="00934D7A"/>
    <w:p w:rsidR="00934D7A" w:rsidRDefault="00934D7A"/>
    <w:p w:rsidR="00934D7A" w:rsidRDefault="00065373">
      <w:pPr>
        <w:pStyle w:val="Heading3"/>
        <w:jc w:val="both"/>
        <w:rPr>
          <w:b w:val="0"/>
          <w:bCs w:val="0"/>
          <w:u w:val="single"/>
        </w:rPr>
      </w:pPr>
      <w:r>
        <w:rPr>
          <w:u w:val="single"/>
        </w:rPr>
        <w:t>Learning Objective</w:t>
      </w:r>
      <w:r w:rsidR="00934D7A">
        <w:rPr>
          <w:u w:val="single"/>
        </w:rPr>
        <w:t xml:space="preserve"> 11.5</w:t>
      </w:r>
      <w:r w:rsidR="00934D7A">
        <w:rPr>
          <w:u w:val="single"/>
        </w:rPr>
        <w:tab/>
        <w:t>Filing Requirements and Estimated Tax</w:t>
      </w:r>
    </w:p>
    <w:p w:rsidR="00A775EF" w:rsidRDefault="00934D7A" w:rsidP="00A775EF">
      <w:pPr>
        <w:pStyle w:val="ListParagraph"/>
        <w:numPr>
          <w:ilvl w:val="0"/>
          <w:numId w:val="31"/>
        </w:numPr>
      </w:pPr>
      <w:r>
        <w:t>Form 1120</w:t>
      </w:r>
      <w:r w:rsidR="00A775EF">
        <w:t xml:space="preserve"> is filed for a C corporation</w:t>
      </w:r>
    </w:p>
    <w:p w:rsidR="00A775EF" w:rsidRDefault="00A775EF" w:rsidP="00A775EF">
      <w:pPr>
        <w:pStyle w:val="ListParagraph"/>
        <w:numPr>
          <w:ilvl w:val="0"/>
          <w:numId w:val="31"/>
        </w:numPr>
      </w:pPr>
      <w:r>
        <w:t xml:space="preserve">Form 1120S is filed </w:t>
      </w:r>
      <w:r w:rsidR="00934D7A">
        <w:t>for an S Corporation</w:t>
      </w:r>
    </w:p>
    <w:p w:rsidR="00A775EF" w:rsidRDefault="00934D7A" w:rsidP="00A775EF">
      <w:pPr>
        <w:pStyle w:val="ListParagraph"/>
        <w:numPr>
          <w:ilvl w:val="0"/>
          <w:numId w:val="31"/>
        </w:numPr>
      </w:pPr>
      <w:r>
        <w:t xml:space="preserve">Corporate tax returns are due on the </w:t>
      </w:r>
      <w:r w:rsidR="00A775EF">
        <w:t>15th</w:t>
      </w:r>
      <w:r>
        <w:t xml:space="preserve"> day of the third month followin</w:t>
      </w:r>
      <w:r w:rsidR="00A775EF">
        <w:t>g tax year-end</w:t>
      </w:r>
    </w:p>
    <w:p w:rsidR="00A775EF" w:rsidRDefault="00166358" w:rsidP="00A775EF">
      <w:pPr>
        <w:pStyle w:val="ListParagraph"/>
        <w:numPr>
          <w:ilvl w:val="1"/>
          <w:numId w:val="31"/>
        </w:numPr>
      </w:pPr>
      <w:r>
        <w:t>A Form 7004</w:t>
      </w:r>
      <w:r w:rsidR="00934D7A">
        <w:t xml:space="preserve"> can be filed for an automatic </w:t>
      </w:r>
      <w:r w:rsidR="00A775EF">
        <w:t>6</w:t>
      </w:r>
      <w:r w:rsidR="00934D7A">
        <w:t xml:space="preserve">-month extension to file, but </w:t>
      </w:r>
      <w:r w:rsidR="007D2175">
        <w:t xml:space="preserve">is </w:t>
      </w:r>
      <w:r w:rsidR="00934D7A" w:rsidRPr="00A775EF">
        <w:rPr>
          <w:i/>
        </w:rPr>
        <w:t>not</w:t>
      </w:r>
      <w:r w:rsidR="00A775EF">
        <w:t xml:space="preserve"> an extension to pay</w:t>
      </w:r>
    </w:p>
    <w:p w:rsidR="00934D7A" w:rsidRDefault="00934D7A" w:rsidP="00A775EF">
      <w:pPr>
        <w:pStyle w:val="ListParagraph"/>
        <w:numPr>
          <w:ilvl w:val="0"/>
          <w:numId w:val="31"/>
        </w:numPr>
      </w:pPr>
      <w:r>
        <w:t>Corporations make estimated tax payments in a manner similar to those made by sel</w:t>
      </w:r>
      <w:r w:rsidR="00A775EF">
        <w:t>f-employed individual taxpayers</w:t>
      </w:r>
      <w:r>
        <w:t xml:space="preserve">  </w:t>
      </w: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934D7A" w:rsidRDefault="00934D7A"/>
    <w:p w:rsidR="00934D7A" w:rsidRDefault="00065373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Learning Objective</w:t>
      </w:r>
      <w:r w:rsidR="00934D7A">
        <w:rPr>
          <w:rFonts w:ascii="Times New Roman" w:eastAsia="Times New Roman" w:hAnsi="Times New Roman" w:cs="Times New Roman"/>
          <w:b/>
          <w:bCs/>
          <w:u w:val="single"/>
        </w:rPr>
        <w:t xml:space="preserve"> 11.6 </w:t>
      </w:r>
      <w:r w:rsidR="00934D7A">
        <w:rPr>
          <w:rFonts w:ascii="Times New Roman" w:eastAsia="Times New Roman" w:hAnsi="Times New Roman" w:cs="Times New Roman"/>
          <w:b/>
          <w:bCs/>
          <w:u w:val="single"/>
        </w:rPr>
        <w:tab/>
        <w:t>S Corporations</w:t>
      </w:r>
    </w:p>
    <w:p w:rsidR="00A775EF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 S Corporation does not generally pay tax</w:t>
      </w:r>
    </w:p>
    <w:p w:rsidR="00A775EF" w:rsidRDefault="00A775EF" w:rsidP="00A775EF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</w:t>
      </w:r>
      <w:r w:rsidR="00934D7A">
        <w:rPr>
          <w:rFonts w:ascii="Times New Roman" w:eastAsia="Times New Roman" w:hAnsi="Times New Roman" w:cs="Times New Roman"/>
        </w:rPr>
        <w:t>ach shareholder reports his or her share of corpor</w:t>
      </w:r>
      <w:r>
        <w:rPr>
          <w:rFonts w:ascii="Times New Roman" w:eastAsia="Times New Roman" w:hAnsi="Times New Roman" w:cs="Times New Roman"/>
        </w:rPr>
        <w:t>ate income</w:t>
      </w:r>
      <w:r w:rsidR="00934D7A">
        <w:rPr>
          <w:rFonts w:ascii="Times New Roman" w:eastAsia="Times New Roman" w:hAnsi="Times New Roman" w:cs="Times New Roman"/>
        </w:rPr>
        <w:t xml:space="preserve"> </w:t>
      </w:r>
    </w:p>
    <w:p w:rsidR="00A775EF" w:rsidRDefault="00934D7A" w:rsidP="00A775EF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S Corporation election is designed to relieve small corporations of certain corporate tax disadvantages, such</w:t>
      </w:r>
      <w:r w:rsidR="00A775EF">
        <w:rPr>
          <w:rFonts w:ascii="Times New Roman" w:eastAsia="Times New Roman" w:hAnsi="Times New Roman" w:cs="Times New Roman"/>
        </w:rPr>
        <w:t xml:space="preserve"> as double taxation of income</w:t>
      </w:r>
    </w:p>
    <w:p w:rsidR="00934D7A" w:rsidRDefault="00934D7A" w:rsidP="00A775EF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 elect S Corporation status, the following conditions must be met:</w:t>
      </w:r>
    </w:p>
    <w:p w:rsidR="00934D7A" w:rsidRDefault="00934D7A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The corporation must be a domestic corporation</w:t>
      </w:r>
    </w:p>
    <w:p w:rsidR="00934D7A" w:rsidRDefault="00934D7A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co</w:t>
      </w:r>
      <w:r w:rsidR="00166358">
        <w:rPr>
          <w:rFonts w:ascii="Times New Roman" w:eastAsia="Times New Roman" w:hAnsi="Times New Roman" w:cs="Times New Roman"/>
        </w:rPr>
        <w:t>rporation must have 100</w:t>
      </w:r>
      <w:r>
        <w:rPr>
          <w:rFonts w:ascii="Times New Roman" w:eastAsia="Times New Roman" w:hAnsi="Times New Roman" w:cs="Times New Roman"/>
        </w:rPr>
        <w:t xml:space="preserve"> or fewer shareholders, who are all </w:t>
      </w:r>
      <w:r w:rsidR="007D2175">
        <w:rPr>
          <w:rFonts w:ascii="Times New Roman" w:eastAsia="Times New Roman" w:hAnsi="Times New Roman" w:cs="Times New Roman"/>
        </w:rPr>
        <w:t xml:space="preserve">either </w:t>
      </w:r>
      <w:r>
        <w:rPr>
          <w:rFonts w:ascii="Times New Roman" w:eastAsia="Times New Roman" w:hAnsi="Times New Roman" w:cs="Times New Roman"/>
        </w:rPr>
        <w:t>individuals, estates, certain trusts, certain financial institutions or certain exempt organizations</w:t>
      </w:r>
    </w:p>
    <w:p w:rsidR="00934D7A" w:rsidRDefault="00934D7A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corporation must have only one class of stock</w:t>
      </w:r>
    </w:p>
    <w:p w:rsidR="00934D7A" w:rsidRDefault="00934D7A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 shareholders must be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eastAsia="Times New Roman" w:hAnsi="Times New Roman" w:cs="Times New Roman"/>
            </w:rPr>
            <w:t>U.S.</w:t>
          </w:r>
        </w:smartTag>
      </w:smartTag>
      <w:r>
        <w:rPr>
          <w:rFonts w:ascii="Times New Roman" w:eastAsia="Times New Roman" w:hAnsi="Times New Roman" w:cs="Times New Roman"/>
        </w:rPr>
        <w:t xml:space="preserve"> citizens or resident aliens</w:t>
      </w: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014CEA" w:rsidRDefault="00014CEA" w:rsidP="00014CEA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 Corporations may have to pay taxes on certain items such as passive investment income.</w:t>
      </w:r>
    </w:p>
    <w:p w:rsidR="00014CEA" w:rsidRDefault="00014CE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A775EF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shareholders of S Corporations receive a Schedule K-1 from Form 1120S </w:t>
      </w:r>
    </w:p>
    <w:p w:rsidR="00A775EF" w:rsidRDefault="00A775EF" w:rsidP="00A775EF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It allocates</w:t>
      </w:r>
      <w:r w:rsidR="00934D7A">
        <w:rPr>
          <w:rFonts w:ascii="Times New Roman" w:eastAsia="Times New Roman" w:hAnsi="Times New Roman" w:cs="Times New Roman"/>
        </w:rPr>
        <w:t xml:space="preserve"> ordinary income or loss</w:t>
      </w:r>
    </w:p>
    <w:p w:rsidR="00014CEA" w:rsidRDefault="00934D7A" w:rsidP="00A775EF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Losses from an S Corporation pass through to the </w:t>
      </w:r>
      <w:r w:rsidR="00856A53">
        <w:rPr>
          <w:rFonts w:ascii="Times New Roman" w:eastAsia="Times New Roman" w:hAnsi="Times New Roman" w:cs="Times New Roman"/>
        </w:rPr>
        <w:t>shareholders</w:t>
      </w:r>
    </w:p>
    <w:p w:rsidR="00014CEA" w:rsidRDefault="00014CEA" w:rsidP="00014CEA">
      <w:pPr>
        <w:pStyle w:val="NormalWeb"/>
        <w:numPr>
          <w:ilvl w:val="1"/>
          <w:numId w:val="33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</w:t>
      </w:r>
      <w:r w:rsidR="00934D7A">
        <w:rPr>
          <w:rFonts w:ascii="Times New Roman" w:eastAsia="Times New Roman" w:hAnsi="Times New Roman" w:cs="Times New Roman"/>
        </w:rPr>
        <w:t>osses are limited to the adjusted basis in the corporation’s stock and any loans to the cor</w:t>
      </w:r>
      <w:r>
        <w:rPr>
          <w:rFonts w:ascii="Times New Roman" w:eastAsia="Times New Roman" w:hAnsi="Times New Roman" w:cs="Times New Roman"/>
        </w:rPr>
        <w:t>poration from the shareholder</w:t>
      </w:r>
    </w:p>
    <w:p w:rsidR="00014CEA" w:rsidRDefault="00934D7A" w:rsidP="00014CEA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Pass-through items from an S Corporation to shareholders included </w:t>
      </w:r>
    </w:p>
    <w:p w:rsidR="00934D7A" w:rsidRDefault="00014CEA" w:rsidP="00014CEA">
      <w:pPr>
        <w:pStyle w:val="NormalWeb"/>
        <w:numPr>
          <w:ilvl w:val="1"/>
          <w:numId w:val="33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</w:t>
      </w:r>
      <w:r w:rsidR="00934D7A">
        <w:rPr>
          <w:rFonts w:ascii="Times New Roman" w:eastAsia="Times New Roman" w:hAnsi="Times New Roman" w:cs="Times New Roman"/>
        </w:rPr>
        <w:t xml:space="preserve">apital gains and losses, Section 1231 gains and losses, dividend income, charitable contributions, tax-exempt interest and most credits.  </w:t>
      </w: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</w:rPr>
      </w:pPr>
    </w:p>
    <w:p w:rsidR="00934D7A" w:rsidRDefault="00065373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Learning Objective</w:t>
      </w:r>
      <w:r w:rsidR="00934D7A">
        <w:rPr>
          <w:rFonts w:ascii="Times New Roman" w:eastAsia="Times New Roman" w:hAnsi="Times New Roman" w:cs="Times New Roman"/>
          <w:b/>
          <w:bCs/>
          <w:u w:val="single"/>
        </w:rPr>
        <w:t xml:space="preserve"> 11.7</w:t>
      </w:r>
      <w:r w:rsidR="00934D7A">
        <w:rPr>
          <w:rFonts w:ascii="Times New Roman" w:eastAsia="Times New Roman" w:hAnsi="Times New Roman" w:cs="Times New Roman"/>
          <w:b/>
          <w:bCs/>
          <w:u w:val="single"/>
        </w:rPr>
        <w:tab/>
        <w:t>Corporate Formation</w:t>
      </w: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requirements necessary for the deferral </w:t>
      </w:r>
      <w:r w:rsidR="00014CEA">
        <w:rPr>
          <w:rFonts w:ascii="Times New Roman" w:eastAsia="Times New Roman" w:hAnsi="Times New Roman" w:cs="Times New Roman"/>
        </w:rPr>
        <w:t xml:space="preserve">of gains when contributing property to an S </w:t>
      </w:r>
      <w:proofErr w:type="spellStart"/>
      <w:r w:rsidR="00014CEA">
        <w:rPr>
          <w:rFonts w:ascii="Times New Roman" w:eastAsia="Times New Roman" w:hAnsi="Times New Roman" w:cs="Times New Roman"/>
        </w:rPr>
        <w:t>corp</w:t>
      </w:r>
      <w:proofErr w:type="spellEnd"/>
      <w:r w:rsidR="00014CE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include:</w:t>
      </w:r>
    </w:p>
    <w:p w:rsidR="00934D7A" w:rsidRDefault="00934D7A">
      <w:pPr>
        <w:pStyle w:val="NormalWeb"/>
        <w:numPr>
          <w:ilvl w:val="0"/>
          <w:numId w:val="28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taxpayer must transfer property or money to the corporation</w:t>
      </w:r>
    </w:p>
    <w:p w:rsidR="00934D7A" w:rsidRDefault="00934D7A">
      <w:pPr>
        <w:pStyle w:val="NormalWeb"/>
        <w:numPr>
          <w:ilvl w:val="0"/>
          <w:numId w:val="28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transfer must be solely in exchange for stock of the corporation, and</w:t>
      </w:r>
    </w:p>
    <w:p w:rsidR="00934D7A" w:rsidRDefault="00934D7A">
      <w:pPr>
        <w:pStyle w:val="NormalWeb"/>
        <w:numPr>
          <w:ilvl w:val="0"/>
          <w:numId w:val="28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shareholder(s) qualifying for </w:t>
      </w:r>
      <w:proofErr w:type="spellStart"/>
      <w:r>
        <w:rPr>
          <w:rFonts w:ascii="Times New Roman" w:eastAsia="Times New Roman" w:hAnsi="Times New Roman" w:cs="Times New Roman"/>
        </w:rPr>
        <w:t>nonr</w:t>
      </w:r>
      <w:r w:rsidR="00014CEA">
        <w:rPr>
          <w:rFonts w:ascii="Times New Roman" w:eastAsia="Times New Roman" w:hAnsi="Times New Roman" w:cs="Times New Roman"/>
        </w:rPr>
        <w:t>ecognition</w:t>
      </w:r>
      <w:proofErr w:type="spellEnd"/>
      <w:r w:rsidR="00014CEA">
        <w:rPr>
          <w:rFonts w:ascii="Times New Roman" w:eastAsia="Times New Roman" w:hAnsi="Times New Roman" w:cs="Times New Roman"/>
        </w:rPr>
        <w:t xml:space="preserve"> must own at least 80% </w:t>
      </w:r>
      <w:r>
        <w:rPr>
          <w:rFonts w:ascii="Times New Roman" w:eastAsia="Times New Roman" w:hAnsi="Times New Roman" w:cs="Times New Roman"/>
        </w:rPr>
        <w:t>of the corpor</w:t>
      </w:r>
      <w:r w:rsidR="00014CEA">
        <w:rPr>
          <w:rFonts w:ascii="Times New Roman" w:eastAsia="Times New Roman" w:hAnsi="Times New Roman" w:cs="Times New Roman"/>
        </w:rPr>
        <w:t xml:space="preserve">ation’s stock after the </w:t>
      </w:r>
      <w:proofErr w:type="spellStart"/>
      <w:r w:rsidR="00014CEA">
        <w:rPr>
          <w:rFonts w:ascii="Times New Roman" w:eastAsia="Times New Roman" w:hAnsi="Times New Roman" w:cs="Times New Roman"/>
        </w:rPr>
        <w:t>transfe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014CEA" w:rsidRDefault="00934D7A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all requirements are met, losses and gains are not re</w:t>
      </w:r>
      <w:r w:rsidR="00014CEA">
        <w:rPr>
          <w:rFonts w:ascii="Times New Roman" w:hAnsi="Times New Roman" w:cs="Times New Roman"/>
        </w:rPr>
        <w:t xml:space="preserve">cognized on formation of the corporation. </w:t>
      </w:r>
    </w:p>
    <w:p w:rsidR="00014CEA" w:rsidRDefault="00934D7A" w:rsidP="00014CEA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Typically, when a corporation takes over shareholder liabilities, the </w:t>
      </w:r>
      <w:r w:rsidR="00014CEA">
        <w:rPr>
          <w:rFonts w:ascii="Times New Roman" w:hAnsi="Times New Roman" w:cs="Times New Roman"/>
        </w:rPr>
        <w:t>amount is</w:t>
      </w:r>
      <w:r>
        <w:rPr>
          <w:rFonts w:ascii="Times New Roman" w:hAnsi="Times New Roman" w:cs="Times New Roman"/>
        </w:rPr>
        <w:t xml:space="preserve"> not considered to be boot.  </w:t>
      </w:r>
    </w:p>
    <w:p w:rsidR="00014CEA" w:rsidRDefault="00014CEA" w:rsidP="00014CEA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ecognition of realized gain is required</w:t>
      </w:r>
      <w:r>
        <w:rPr>
          <w:rFonts w:ascii="Times New Roman" w:hAnsi="Times New Roman" w:cs="Times New Roman"/>
        </w:rPr>
        <w:t xml:space="preserve"> if:</w:t>
      </w:r>
    </w:p>
    <w:p w:rsidR="00014CEA" w:rsidRDefault="00014CEA" w:rsidP="00014CEA">
      <w:pPr>
        <w:pStyle w:val="NormalWeb"/>
        <w:numPr>
          <w:ilvl w:val="1"/>
          <w:numId w:val="3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934D7A">
        <w:rPr>
          <w:rFonts w:ascii="Times New Roman" w:hAnsi="Times New Roman" w:cs="Times New Roman"/>
        </w:rPr>
        <w:t xml:space="preserve">orporation takes over the liability for no business purpose or to avoid paying taxes, the.  </w:t>
      </w:r>
    </w:p>
    <w:p w:rsidR="00014CEA" w:rsidRDefault="00014CEA" w:rsidP="00014CEA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:rsidR="00934D7A" w:rsidRDefault="00934D7A" w:rsidP="00014CEA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the transfer, the shareholder’s basis in stock is determined as follows:</w:t>
      </w:r>
    </w:p>
    <w:p w:rsidR="00934D7A" w:rsidRDefault="00934D7A">
      <w:pPr>
        <w:pStyle w:val="NormalWeb"/>
        <w:spacing w:before="0" w:beforeAutospacing="0" w:after="0" w:afterAutospacing="0"/>
        <w:ind w:left="2160"/>
        <w:rPr>
          <w:rFonts w:ascii="Times New Roman" w:hAnsi="Times New Roman" w:cs="Times New Roman"/>
        </w:rPr>
      </w:pPr>
    </w:p>
    <w:p w:rsidR="00934D7A" w:rsidRDefault="00934D7A">
      <w:pPr>
        <w:pStyle w:val="NormalWeb"/>
        <w:spacing w:before="0" w:beforeAutospacing="0" w:after="0" w:afterAutospacing="0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Basis of the property transferred</w:t>
      </w:r>
      <w:r>
        <w:rPr>
          <w:rFonts w:ascii="Times New Roman" w:hAnsi="Times New Roman" w:cs="Times New Roman"/>
        </w:rPr>
        <w:tab/>
      </w:r>
    </w:p>
    <w:p w:rsidR="00014CEA" w:rsidRDefault="00934D7A">
      <w:pPr>
        <w:pStyle w:val="NormalWeb"/>
        <w:spacing w:before="0" w:beforeAutospacing="0" w:after="0" w:afterAutospacing="0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</w:t>
      </w:r>
      <w:r w:rsidR="00CE1F1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boot received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</w:p>
    <w:p w:rsidR="00014CEA" w:rsidRDefault="00934D7A">
      <w:pPr>
        <w:pStyle w:val="NormalWeb"/>
        <w:spacing w:before="0" w:beforeAutospacing="0" w:after="0" w:afterAutospacing="0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Plus</w:t>
      </w:r>
      <w:r w:rsidR="00CE1F1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gain recognized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34D7A" w:rsidRDefault="00934D7A">
      <w:pPr>
        <w:pStyle w:val="NormalWeb"/>
        <w:spacing w:before="0" w:beforeAutospacing="0" w:after="0" w:afterAutospacing="0"/>
        <w:ind w:left="21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Less</w:t>
      </w:r>
      <w:r w:rsidR="00CE1F1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liabilities transferred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</w:t>
      </w:r>
    </w:p>
    <w:p w:rsidR="007D2175" w:rsidRDefault="00934D7A">
      <w:pPr>
        <w:rPr>
          <w:u w:val="double"/>
        </w:rPr>
      </w:pPr>
      <w:r>
        <w:tab/>
      </w:r>
      <w:r>
        <w:tab/>
      </w:r>
      <w:r>
        <w:tab/>
        <w:t>Basis in the stock</w:t>
      </w:r>
      <w:r>
        <w:tab/>
      </w:r>
      <w:r>
        <w:tab/>
      </w:r>
      <w:r>
        <w:tab/>
      </w:r>
    </w:p>
    <w:p w:rsidR="00014CEA" w:rsidRDefault="00014CEA">
      <w:pPr>
        <w:rPr>
          <w:rFonts w:eastAsia="Arial Unicode MS"/>
        </w:rPr>
      </w:pPr>
    </w:p>
    <w:p w:rsidR="007D2175" w:rsidRPr="007D2175" w:rsidRDefault="00014CEA">
      <w:pPr>
        <w:rPr>
          <w:rFonts w:eastAsia="Arial Unicode MS"/>
        </w:rPr>
      </w:pPr>
      <w:r>
        <w:rPr>
          <w:rFonts w:eastAsia="Arial Unicode MS"/>
        </w:rPr>
        <w:t>C</w:t>
      </w:r>
      <w:r w:rsidR="007D2175" w:rsidRPr="007D2175">
        <w:rPr>
          <w:rFonts w:eastAsia="Arial Unicode MS"/>
        </w:rPr>
        <w:t>orporation’s basis in property received from a</w:t>
      </w:r>
      <w:r w:rsidR="00570974">
        <w:rPr>
          <w:rFonts w:eastAsia="Arial Unicode MS"/>
        </w:rPr>
        <w:t xml:space="preserve"> shareholder</w:t>
      </w:r>
      <w:r w:rsidR="007D2175" w:rsidRPr="007D2175">
        <w:rPr>
          <w:rFonts w:eastAsia="Arial Unicode MS"/>
        </w:rPr>
        <w:t xml:space="preserve"> is the same as the basis of property to shareholder, increased by </w:t>
      </w:r>
      <w:r w:rsidR="00570974">
        <w:rPr>
          <w:rFonts w:eastAsia="Arial Unicode MS"/>
        </w:rPr>
        <w:t xml:space="preserve">any </w:t>
      </w:r>
      <w:r w:rsidR="007D2175" w:rsidRPr="007D2175">
        <w:rPr>
          <w:rFonts w:eastAsia="Arial Unicode MS"/>
        </w:rPr>
        <w:t>gain recognized</w:t>
      </w:r>
      <w:r>
        <w:rPr>
          <w:rFonts w:eastAsia="Arial Unicode MS"/>
        </w:rPr>
        <w:t xml:space="preserve"> by shareholder on the transfer</w:t>
      </w:r>
    </w:p>
    <w:p w:rsidR="00934D7A" w:rsidRPr="007D2175" w:rsidRDefault="00934D7A">
      <w:pPr>
        <w:pStyle w:val="Heading8"/>
        <w:jc w:val="left"/>
        <w:rPr>
          <w:rFonts w:eastAsia="Arial Unicode MS"/>
          <w:b w:val="0"/>
          <w:bCs w:val="0"/>
          <w:u w:val="none"/>
        </w:rPr>
      </w:pPr>
    </w:p>
    <w:p w:rsidR="00934D7A" w:rsidRDefault="00065373">
      <w:pPr>
        <w:pStyle w:val="Heading8"/>
        <w:jc w:val="left"/>
      </w:pPr>
      <w:r>
        <w:t>Learning Objective</w:t>
      </w:r>
      <w:r w:rsidR="00934D7A">
        <w:t xml:space="preserve"> 11.8 </w:t>
      </w:r>
      <w:r w:rsidR="00934D7A">
        <w:tab/>
        <w:t>Corporate Accumulations</w:t>
      </w:r>
    </w:p>
    <w:p w:rsidR="00014CEA" w:rsidRDefault="00934D7A">
      <w:r>
        <w:t xml:space="preserve">Congress has enacted two special taxes to discourage </w:t>
      </w:r>
      <w:r w:rsidR="00014CEA">
        <w:t>setting up corporations to avoid paying individual income tax:</w:t>
      </w:r>
    </w:p>
    <w:p w:rsidR="00014CEA" w:rsidRDefault="00014CEA" w:rsidP="00014CEA">
      <w:pPr>
        <w:pStyle w:val="ListParagraph"/>
        <w:numPr>
          <w:ilvl w:val="0"/>
          <w:numId w:val="36"/>
        </w:numPr>
      </w:pPr>
      <w:r>
        <w:t>A</w:t>
      </w:r>
      <w:r w:rsidR="00934D7A">
        <w:t>ccumulated earnings tax</w:t>
      </w:r>
      <w:r>
        <w:t xml:space="preserve"> (AET)</w:t>
      </w:r>
      <w:r w:rsidR="00934D7A">
        <w:t xml:space="preserve"> prevent</w:t>
      </w:r>
      <w:r>
        <w:t>s</w:t>
      </w:r>
      <w:r w:rsidR="00934D7A">
        <w:t xml:space="preserve"> shareholders from retaining earnings in a corporation rather than paying taxes on the earnings  </w:t>
      </w:r>
    </w:p>
    <w:p w:rsidR="00014CEA" w:rsidRDefault="00856A53" w:rsidP="00014CEA">
      <w:pPr>
        <w:pStyle w:val="ListParagraph"/>
        <w:numPr>
          <w:ilvl w:val="1"/>
          <w:numId w:val="36"/>
        </w:numPr>
      </w:pPr>
      <w:r>
        <w:t>15</w:t>
      </w:r>
      <w:r w:rsidR="00014CEA">
        <w:t xml:space="preserve">% </w:t>
      </w:r>
      <w:r w:rsidR="00934D7A">
        <w:t xml:space="preserve">for any unreasonable accumulation of earnings.  </w:t>
      </w:r>
    </w:p>
    <w:p w:rsidR="00014CEA" w:rsidRDefault="00934D7A" w:rsidP="00014CEA">
      <w:pPr>
        <w:pStyle w:val="ListParagraph"/>
        <w:numPr>
          <w:ilvl w:val="1"/>
          <w:numId w:val="36"/>
        </w:numPr>
      </w:pPr>
      <w:r>
        <w:t>For most corporations, the first $250,000 is exempt from tax</w:t>
      </w:r>
    </w:p>
    <w:p w:rsidR="00014CEA" w:rsidRDefault="007D2175" w:rsidP="00014CEA">
      <w:pPr>
        <w:pStyle w:val="ListParagraph"/>
        <w:numPr>
          <w:ilvl w:val="1"/>
          <w:numId w:val="36"/>
        </w:numPr>
      </w:pPr>
      <w:r>
        <w:t xml:space="preserve">Service corporations will not be taxed on their first $150,000 of </w:t>
      </w:r>
      <w:r w:rsidR="00014CEA">
        <w:t>AET</w:t>
      </w:r>
    </w:p>
    <w:p w:rsidR="00934D7A" w:rsidRDefault="00014CEA" w:rsidP="00014CEA">
      <w:pPr>
        <w:pStyle w:val="ListParagraph"/>
        <w:numPr>
          <w:ilvl w:val="0"/>
          <w:numId w:val="36"/>
        </w:numPr>
      </w:pPr>
      <w:r>
        <w:t>The personal holding company ta is applied to</w:t>
      </w:r>
      <w:r w:rsidR="00934D7A">
        <w:t xml:space="preserve"> corporations with few shareholders and income primarily from investment</w:t>
      </w:r>
      <w:r w:rsidR="007D2175">
        <w:t>s; they are subject to 20% tax on their undistributed earnings.</w:t>
      </w: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934D7A" w:rsidRDefault="00934D7A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934D7A" w:rsidRDefault="00065373">
      <w:pPr>
        <w:pStyle w:val="Heading6"/>
      </w:pPr>
      <w:r>
        <w:t>Learning Objective</w:t>
      </w:r>
      <w:r w:rsidR="00934D7A">
        <w:t xml:space="preserve"> 11.9</w:t>
      </w:r>
      <w:r w:rsidR="00934D7A">
        <w:tab/>
        <w:t>The Corporate Alternative Minimum Tax</w:t>
      </w:r>
    </w:p>
    <w:p w:rsidR="00014CEA" w:rsidRDefault="00934D7A">
      <w:r>
        <w:t>The corporate alternative minimum tax is calculated like the indiv</w:t>
      </w:r>
      <w:r w:rsidR="00014CEA">
        <w:t xml:space="preserve">idual alternative minimum tax. </w:t>
      </w:r>
    </w:p>
    <w:p w:rsidR="00014CEA" w:rsidRDefault="00934D7A" w:rsidP="00014CEA">
      <w:pPr>
        <w:pStyle w:val="ListParagraph"/>
        <w:numPr>
          <w:ilvl w:val="0"/>
          <w:numId w:val="37"/>
        </w:numPr>
      </w:pPr>
      <w:r>
        <w:t>20</w:t>
      </w:r>
      <w:r w:rsidR="00014CEA">
        <w:t>%</w:t>
      </w:r>
      <w:r>
        <w:t xml:space="preserve"> on th</w:t>
      </w:r>
      <w:r w:rsidR="00014CEA">
        <w:t xml:space="preserve">e alternative minimum tax base </w:t>
      </w:r>
    </w:p>
    <w:p w:rsidR="00014CEA" w:rsidRDefault="00014CEA" w:rsidP="00014CEA">
      <w:pPr>
        <w:pStyle w:val="ListParagraph"/>
        <w:numPr>
          <w:ilvl w:val="1"/>
          <w:numId w:val="37"/>
        </w:numPr>
      </w:pPr>
      <w:r>
        <w:t>Equals = R</w:t>
      </w:r>
      <w:r w:rsidR="00934D7A">
        <w:t xml:space="preserve">egular taxable income </w:t>
      </w:r>
      <w:r>
        <w:t>+</w:t>
      </w:r>
      <w:r w:rsidR="00934D7A">
        <w:t xml:space="preserve"> corporate tax preferences </w:t>
      </w:r>
      <w:r>
        <w:t>–</w:t>
      </w:r>
      <w:r w:rsidR="00934D7A">
        <w:t xml:space="preserve"> exemptions</w:t>
      </w:r>
    </w:p>
    <w:p w:rsidR="00014CEA" w:rsidRDefault="00934D7A" w:rsidP="00014CEA">
      <w:pPr>
        <w:pStyle w:val="ListParagraph"/>
        <w:numPr>
          <w:ilvl w:val="0"/>
          <w:numId w:val="37"/>
        </w:numPr>
      </w:pPr>
      <w:r>
        <w:t xml:space="preserve"> Common corporate tax adjustments and preferences include </w:t>
      </w:r>
    </w:p>
    <w:p w:rsidR="00014CEA" w:rsidRDefault="00014CEA" w:rsidP="00014CEA">
      <w:pPr>
        <w:pStyle w:val="ListParagraph"/>
        <w:numPr>
          <w:ilvl w:val="1"/>
          <w:numId w:val="37"/>
        </w:numPr>
      </w:pPr>
      <w:r>
        <w:t>A</w:t>
      </w:r>
      <w:r w:rsidR="00934D7A">
        <w:t>ccelera</w:t>
      </w:r>
      <w:r>
        <w:t>ted depreciation on real estate and</w:t>
      </w:r>
      <w:r w:rsidR="00934D7A">
        <w:t xml:space="preserve"> personal property</w:t>
      </w:r>
    </w:p>
    <w:p w:rsidR="00014CEA" w:rsidRDefault="00014CEA" w:rsidP="00014CEA">
      <w:pPr>
        <w:pStyle w:val="ListParagraph"/>
        <w:numPr>
          <w:ilvl w:val="1"/>
          <w:numId w:val="37"/>
        </w:numPr>
      </w:pPr>
      <w:r>
        <w:t>Tax-exempt bond interest</w:t>
      </w:r>
    </w:p>
    <w:p w:rsidR="00014CEA" w:rsidRDefault="00014CEA" w:rsidP="00014CEA">
      <w:pPr>
        <w:pStyle w:val="ListParagraph"/>
        <w:numPr>
          <w:ilvl w:val="1"/>
          <w:numId w:val="37"/>
        </w:numPr>
      </w:pPr>
      <w:r>
        <w:t>P</w:t>
      </w:r>
      <w:r w:rsidR="00934D7A">
        <w:t xml:space="preserve">ercentage depletion in excess of the property’s adjusted basis and </w:t>
      </w:r>
    </w:p>
    <w:p w:rsidR="00934D7A" w:rsidRDefault="00E50C93" w:rsidP="00014CEA">
      <w:pPr>
        <w:pStyle w:val="ListParagraph"/>
        <w:numPr>
          <w:ilvl w:val="1"/>
          <w:numId w:val="37"/>
        </w:numPr>
      </w:pPr>
      <w:r>
        <w:t>75</w:t>
      </w:r>
      <w:r w:rsidR="00014CEA">
        <w:t xml:space="preserve">% </w:t>
      </w:r>
      <w:r w:rsidR="00934D7A">
        <w:t xml:space="preserve">of the difference between adjusted current earnings and </w:t>
      </w:r>
      <w:r w:rsidR="00014CEA">
        <w:t xml:space="preserve">AETI </w:t>
      </w:r>
      <w:r w:rsidR="00934D7A">
        <w:t>determined before this adjustment and the alternative tax net operating loss deduction</w:t>
      </w:r>
      <w:bookmarkStart w:id="0" w:name="_GoBack"/>
      <w:bookmarkEnd w:id="0"/>
    </w:p>
    <w:sectPr w:rsidR="00934D7A" w:rsidSect="00B217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F6A" w:rsidRDefault="00AF0F6A">
      <w:r>
        <w:separator/>
      </w:r>
    </w:p>
  </w:endnote>
  <w:endnote w:type="continuationSeparator" w:id="0">
    <w:p w:rsidR="00AF0F6A" w:rsidRDefault="00AF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2D" w:rsidRDefault="003F412D" w:rsidP="003F412D">
    <w:pPr>
      <w:tabs>
        <w:tab w:val="center" w:pos="4320"/>
        <w:tab w:val="right" w:pos="8640"/>
      </w:tabs>
    </w:pPr>
    <w:r w:rsidRPr="00D166DE">
      <w:rPr>
        <w:sz w:val="16"/>
        <w:szCs w:val="16"/>
      </w:rPr>
      <w:t>© 201</w:t>
    </w:r>
    <w:r w:rsidR="00AD2F4B">
      <w:rPr>
        <w:sz w:val="16"/>
        <w:szCs w:val="16"/>
      </w:rPr>
      <w:t>6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F6A" w:rsidRDefault="00AF0F6A">
      <w:r>
        <w:separator/>
      </w:r>
    </w:p>
  </w:footnote>
  <w:footnote w:type="continuationSeparator" w:id="0">
    <w:p w:rsidR="00AF0F6A" w:rsidRDefault="00AF0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342"/>
    <w:multiLevelType w:val="hybridMultilevel"/>
    <w:tmpl w:val="72F82BC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4712AC"/>
    <w:multiLevelType w:val="hybridMultilevel"/>
    <w:tmpl w:val="152EC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F489B"/>
    <w:multiLevelType w:val="hybridMultilevel"/>
    <w:tmpl w:val="49247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D52C5"/>
    <w:multiLevelType w:val="hybridMultilevel"/>
    <w:tmpl w:val="247ADA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DA3A63"/>
    <w:multiLevelType w:val="hybridMultilevel"/>
    <w:tmpl w:val="38E62D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C41F5"/>
    <w:multiLevelType w:val="hybridMultilevel"/>
    <w:tmpl w:val="36942714"/>
    <w:lvl w:ilvl="0" w:tplc="AB86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4D1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5C20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49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CC8D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4E80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BE4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8B4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062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114A5"/>
    <w:multiLevelType w:val="multilevel"/>
    <w:tmpl w:val="58063F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604D99"/>
    <w:multiLevelType w:val="hybridMultilevel"/>
    <w:tmpl w:val="74B832AE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EA73EA"/>
    <w:multiLevelType w:val="hybridMultilevel"/>
    <w:tmpl w:val="3B8609B8"/>
    <w:lvl w:ilvl="0" w:tplc="1FE85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76B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AD6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8EE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E83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8C97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40AD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6C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A2D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D69D2"/>
    <w:multiLevelType w:val="hybridMultilevel"/>
    <w:tmpl w:val="F58A4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817D3"/>
    <w:multiLevelType w:val="hybridMultilevel"/>
    <w:tmpl w:val="430205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67144E"/>
    <w:multiLevelType w:val="hybridMultilevel"/>
    <w:tmpl w:val="545EF9C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A23A40"/>
    <w:multiLevelType w:val="hybridMultilevel"/>
    <w:tmpl w:val="C78602F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E05E2F"/>
    <w:multiLevelType w:val="hybridMultilevel"/>
    <w:tmpl w:val="16CAB78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F82DDA"/>
    <w:multiLevelType w:val="hybridMultilevel"/>
    <w:tmpl w:val="0C08E8DC"/>
    <w:lvl w:ilvl="0" w:tplc="693E01E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9C05C7"/>
    <w:multiLevelType w:val="hybridMultilevel"/>
    <w:tmpl w:val="88EC3C94"/>
    <w:lvl w:ilvl="0" w:tplc="C04A4DF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8C6A4D"/>
    <w:multiLevelType w:val="hybridMultilevel"/>
    <w:tmpl w:val="D0943F1E"/>
    <w:lvl w:ilvl="0" w:tplc="C7327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EC5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0C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889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80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43E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F2A1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9E39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AC5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87355"/>
    <w:multiLevelType w:val="hybridMultilevel"/>
    <w:tmpl w:val="8C80AC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F11E38"/>
    <w:multiLevelType w:val="hybridMultilevel"/>
    <w:tmpl w:val="1B84F29E"/>
    <w:lvl w:ilvl="0" w:tplc="5836A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6CFA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66E3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FC6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B4B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A234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18F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AB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CEF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5A52D8"/>
    <w:multiLevelType w:val="hybridMultilevel"/>
    <w:tmpl w:val="ED2C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F6934"/>
    <w:multiLevelType w:val="hybridMultilevel"/>
    <w:tmpl w:val="F7F65062"/>
    <w:lvl w:ilvl="0" w:tplc="A9C6BAA6">
      <w:start w:val="10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64D3C"/>
    <w:multiLevelType w:val="multilevel"/>
    <w:tmpl w:val="5D781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B7B5299"/>
    <w:multiLevelType w:val="hybridMultilevel"/>
    <w:tmpl w:val="A1BC16CE"/>
    <w:lvl w:ilvl="0" w:tplc="44FC0B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706839"/>
    <w:multiLevelType w:val="hybridMultilevel"/>
    <w:tmpl w:val="1BEEE5C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5E802F30"/>
    <w:multiLevelType w:val="hybridMultilevel"/>
    <w:tmpl w:val="DD34A9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184445F"/>
    <w:multiLevelType w:val="hybridMultilevel"/>
    <w:tmpl w:val="D97871E4"/>
    <w:lvl w:ilvl="0" w:tplc="96ACC0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55708D0"/>
    <w:multiLevelType w:val="hybridMultilevel"/>
    <w:tmpl w:val="8C947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81C0C"/>
    <w:multiLevelType w:val="hybridMultilevel"/>
    <w:tmpl w:val="5E9877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A7B44"/>
    <w:multiLevelType w:val="hybridMultilevel"/>
    <w:tmpl w:val="87C895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D7349D"/>
    <w:multiLevelType w:val="hybridMultilevel"/>
    <w:tmpl w:val="DD6ADEA4"/>
    <w:lvl w:ilvl="0" w:tplc="1D0A5122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2F4276"/>
    <w:multiLevelType w:val="hybridMultilevel"/>
    <w:tmpl w:val="D5C0AEC0"/>
    <w:lvl w:ilvl="0" w:tplc="1FE85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CF5BF6"/>
    <w:multiLevelType w:val="hybridMultilevel"/>
    <w:tmpl w:val="4748F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358F7"/>
    <w:multiLevelType w:val="multilevel"/>
    <w:tmpl w:val="952E70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3F417A7"/>
    <w:multiLevelType w:val="hybridMultilevel"/>
    <w:tmpl w:val="179E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914E1"/>
    <w:multiLevelType w:val="hybridMultilevel"/>
    <w:tmpl w:val="76DE9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CB3DF9"/>
    <w:multiLevelType w:val="hybridMultilevel"/>
    <w:tmpl w:val="80328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4"/>
  </w:num>
  <w:num w:numId="4">
    <w:abstractNumId w:val="24"/>
  </w:num>
  <w:num w:numId="5">
    <w:abstractNumId w:val="2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6"/>
  </w:num>
  <w:num w:numId="9">
    <w:abstractNumId w:val="18"/>
  </w:num>
  <w:num w:numId="10">
    <w:abstractNumId w:val="5"/>
  </w:num>
  <w:num w:numId="11">
    <w:abstractNumId w:val="3"/>
  </w:num>
  <w:num w:numId="12">
    <w:abstractNumId w:val="30"/>
  </w:num>
  <w:num w:numId="13">
    <w:abstractNumId w:val="22"/>
  </w:num>
  <w:num w:numId="14">
    <w:abstractNumId w:val="11"/>
  </w:num>
  <w:num w:numId="15">
    <w:abstractNumId w:val="12"/>
  </w:num>
  <w:num w:numId="16">
    <w:abstractNumId w:val="13"/>
  </w:num>
  <w:num w:numId="17">
    <w:abstractNumId w:val="15"/>
  </w:num>
  <w:num w:numId="18">
    <w:abstractNumId w:val="14"/>
  </w:num>
  <w:num w:numId="19">
    <w:abstractNumId w:val="29"/>
  </w:num>
  <w:num w:numId="20">
    <w:abstractNumId w:val="25"/>
  </w:num>
  <w:num w:numId="21">
    <w:abstractNumId w:val="21"/>
  </w:num>
  <w:num w:numId="22">
    <w:abstractNumId w:val="6"/>
  </w:num>
  <w:num w:numId="23">
    <w:abstractNumId w:val="32"/>
  </w:num>
  <w:num w:numId="24">
    <w:abstractNumId w:val="17"/>
  </w:num>
  <w:num w:numId="25">
    <w:abstractNumId w:val="7"/>
  </w:num>
  <w:num w:numId="26">
    <w:abstractNumId w:val="27"/>
  </w:num>
  <w:num w:numId="27">
    <w:abstractNumId w:val="0"/>
  </w:num>
  <w:num w:numId="28">
    <w:abstractNumId w:val="28"/>
  </w:num>
  <w:num w:numId="29">
    <w:abstractNumId w:val="26"/>
  </w:num>
  <w:num w:numId="30">
    <w:abstractNumId w:val="2"/>
  </w:num>
  <w:num w:numId="31">
    <w:abstractNumId w:val="35"/>
  </w:num>
  <w:num w:numId="32">
    <w:abstractNumId w:val="31"/>
  </w:num>
  <w:num w:numId="33">
    <w:abstractNumId w:val="19"/>
  </w:num>
  <w:num w:numId="34">
    <w:abstractNumId w:val="1"/>
  </w:num>
  <w:num w:numId="35">
    <w:abstractNumId w:val="33"/>
  </w:num>
  <w:num w:numId="36">
    <w:abstractNumId w:val="23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FD"/>
    <w:rsid w:val="00014CEA"/>
    <w:rsid w:val="00025768"/>
    <w:rsid w:val="00065373"/>
    <w:rsid w:val="00067A3A"/>
    <w:rsid w:val="000E438D"/>
    <w:rsid w:val="00166358"/>
    <w:rsid w:val="00300440"/>
    <w:rsid w:val="00314CA2"/>
    <w:rsid w:val="00326823"/>
    <w:rsid w:val="0036377E"/>
    <w:rsid w:val="00377939"/>
    <w:rsid w:val="003F412D"/>
    <w:rsid w:val="004C2242"/>
    <w:rsid w:val="00570974"/>
    <w:rsid w:val="00644F14"/>
    <w:rsid w:val="00662F23"/>
    <w:rsid w:val="00685546"/>
    <w:rsid w:val="00691DCB"/>
    <w:rsid w:val="007137E3"/>
    <w:rsid w:val="007C15F6"/>
    <w:rsid w:val="007D2175"/>
    <w:rsid w:val="007E1E8A"/>
    <w:rsid w:val="00833AC7"/>
    <w:rsid w:val="00856A53"/>
    <w:rsid w:val="00867CFD"/>
    <w:rsid w:val="00934D7A"/>
    <w:rsid w:val="009913F3"/>
    <w:rsid w:val="009D1460"/>
    <w:rsid w:val="00A46DE9"/>
    <w:rsid w:val="00A775EF"/>
    <w:rsid w:val="00AB6686"/>
    <w:rsid w:val="00AD2F4B"/>
    <w:rsid w:val="00AF0F6A"/>
    <w:rsid w:val="00B217BC"/>
    <w:rsid w:val="00B36120"/>
    <w:rsid w:val="00B73714"/>
    <w:rsid w:val="00C54C9C"/>
    <w:rsid w:val="00CE1F1A"/>
    <w:rsid w:val="00CE2ABA"/>
    <w:rsid w:val="00CF2645"/>
    <w:rsid w:val="00D25D7A"/>
    <w:rsid w:val="00D459FF"/>
    <w:rsid w:val="00D60322"/>
    <w:rsid w:val="00DE096F"/>
    <w:rsid w:val="00E4244D"/>
    <w:rsid w:val="00E50C93"/>
    <w:rsid w:val="00E93417"/>
    <w:rsid w:val="00F5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18E2619"/>
  <w15:docId w15:val="{9EDC7782-CCC5-4434-B550-6718877E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7BC"/>
    <w:rPr>
      <w:sz w:val="24"/>
      <w:szCs w:val="24"/>
    </w:rPr>
  </w:style>
  <w:style w:type="paragraph" w:styleId="Heading1">
    <w:name w:val="heading 1"/>
    <w:basedOn w:val="Normal"/>
    <w:next w:val="Normal"/>
    <w:qFormat/>
    <w:rsid w:val="00B217BC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B217BC"/>
    <w:pPr>
      <w:keepNext/>
      <w:ind w:left="36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B217BC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217BC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rsid w:val="00B217BC"/>
    <w:pPr>
      <w:keepNext/>
      <w:jc w:val="center"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qFormat/>
    <w:rsid w:val="00B217BC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B217BC"/>
    <w:pPr>
      <w:keepNext/>
      <w:jc w:val="both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rsid w:val="00B217BC"/>
    <w:pPr>
      <w:keepNext/>
      <w:jc w:val="both"/>
      <w:outlineLvl w:val="7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217BC"/>
    <w:rPr>
      <w:color w:val="0000FF"/>
      <w:u w:val="single"/>
    </w:rPr>
  </w:style>
  <w:style w:type="character" w:styleId="FollowedHyperlink">
    <w:name w:val="FollowedHyperlink"/>
    <w:basedOn w:val="DefaultParagraphFont"/>
    <w:rsid w:val="00B217BC"/>
    <w:rPr>
      <w:color w:val="800080"/>
      <w:u w:val="single"/>
    </w:rPr>
  </w:style>
  <w:style w:type="paragraph" w:styleId="NormalWeb">
    <w:name w:val="Normal (Web)"/>
    <w:basedOn w:val="Normal"/>
    <w:rsid w:val="00B217B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Header">
    <w:name w:val="header"/>
    <w:basedOn w:val="Normal"/>
    <w:rsid w:val="00B217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217B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217BC"/>
    <w:rPr>
      <w:b/>
      <w:bCs/>
    </w:rPr>
  </w:style>
  <w:style w:type="character" w:styleId="PageNumber">
    <w:name w:val="page number"/>
    <w:basedOn w:val="DefaultParagraphFont"/>
    <w:rsid w:val="00B217BC"/>
  </w:style>
  <w:style w:type="paragraph" w:styleId="BodyText2">
    <w:name w:val="Body Text 2"/>
    <w:basedOn w:val="Normal"/>
    <w:rsid w:val="00B217BC"/>
    <w:pPr>
      <w:jc w:val="both"/>
    </w:pPr>
  </w:style>
  <w:style w:type="paragraph" w:styleId="Title">
    <w:name w:val="Title"/>
    <w:basedOn w:val="Normal"/>
    <w:qFormat/>
    <w:rsid w:val="00B217BC"/>
    <w:pPr>
      <w:jc w:val="center"/>
    </w:pPr>
    <w:rPr>
      <w:b/>
      <w:bCs/>
      <w:sz w:val="28"/>
    </w:rPr>
  </w:style>
  <w:style w:type="paragraph" w:styleId="BalloonText">
    <w:name w:val="Balloon Text"/>
    <w:basedOn w:val="Normal"/>
    <w:link w:val="BalloonTextChar"/>
    <w:rsid w:val="00CE1F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1F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D2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7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Community College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Forsyth Technical</dc:creator>
  <cp:lastModifiedBy>Lisa</cp:lastModifiedBy>
  <cp:revision>3</cp:revision>
  <cp:lastPrinted>2010-09-28T16:24:00Z</cp:lastPrinted>
  <dcterms:created xsi:type="dcterms:W3CDTF">2016-11-09T16:56:00Z</dcterms:created>
  <dcterms:modified xsi:type="dcterms:W3CDTF">2016-11-09T17:15:00Z</dcterms:modified>
</cp:coreProperties>
</file>